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contextualSpacing/>
        <w:rPr>
          <w:rFonts w:ascii="黑体" w:hAnsi="黑体" w:eastAsia="黑体" w:cs="Times New Roman"/>
          <w:bCs/>
          <w:sz w:val="32"/>
          <w:szCs w:val="32"/>
        </w:rPr>
      </w:pPr>
      <w:r>
        <w:rPr>
          <w:rFonts w:hint="eastAsia" w:ascii="黑体" w:hAnsi="黑体" w:eastAsia="黑体" w:cs="Times New Roman"/>
          <w:bCs/>
          <w:sz w:val="32"/>
          <w:szCs w:val="32"/>
        </w:rPr>
        <w:t>附件</w:t>
      </w:r>
    </w:p>
    <w:p>
      <w:pPr>
        <w:spacing w:line="560" w:lineRule="exact"/>
        <w:ind w:firstLine="0" w:firstLineChars="0"/>
        <w:contextualSpacing/>
        <w:jc w:val="center"/>
        <w:rPr>
          <w:rFonts w:eastAsia="方正小标宋简体" w:cs="Times New Roman"/>
          <w:bCs/>
          <w:sz w:val="44"/>
          <w:szCs w:val="32"/>
        </w:rPr>
      </w:pPr>
      <w:r>
        <w:rPr>
          <w:rFonts w:hint="eastAsia" w:eastAsia="方正小标宋简体" w:cs="Times New Roman"/>
          <w:bCs/>
          <w:sz w:val="44"/>
          <w:szCs w:val="32"/>
        </w:rPr>
        <w:t>学校共青团改革评价指标体系</w:t>
      </w:r>
      <w:bookmarkStart w:id="0" w:name="_GoBack"/>
      <w:r>
        <w:rPr>
          <w:rFonts w:hint="eastAsia" w:eastAsia="方正小标宋简体" w:cs="Times New Roman"/>
          <w:bCs/>
          <w:sz w:val="44"/>
          <w:szCs w:val="32"/>
        </w:rPr>
        <w:t>（试行）</w:t>
      </w:r>
    </w:p>
    <w:bookmarkEnd w:id="0"/>
    <w:p>
      <w:pPr>
        <w:spacing w:before="204" w:beforeLines="50" w:after="204" w:afterLines="50" w:line="300" w:lineRule="exact"/>
        <w:ind w:firstLine="0" w:firstLineChars="0"/>
        <w:contextualSpacing/>
        <w:jc w:val="left"/>
        <w:rPr>
          <w:rFonts w:cs="仿宋_GB2312"/>
          <w:sz w:val="24"/>
          <w:szCs w:val="24"/>
        </w:rPr>
      </w:pPr>
    </w:p>
    <w:p>
      <w:pPr>
        <w:spacing w:before="204" w:beforeLines="50" w:after="204" w:afterLines="50" w:line="300" w:lineRule="exact"/>
        <w:ind w:firstLine="0" w:firstLineChars="0"/>
        <w:contextualSpacing/>
        <w:jc w:val="left"/>
        <w:rPr>
          <w:rFonts w:cs="仿宋_GB2312"/>
          <w:sz w:val="24"/>
          <w:szCs w:val="24"/>
        </w:rPr>
      </w:pPr>
      <w:r>
        <w:rPr>
          <w:rFonts w:hint="eastAsia" w:cs="仿宋_GB2312"/>
          <w:sz w:val="24"/>
          <w:szCs w:val="24"/>
        </w:rPr>
        <w:t>组织名称：共青团川信息职业技术学院委员会</w:t>
      </w:r>
    </w:p>
    <w:p>
      <w:pPr>
        <w:spacing w:before="204" w:beforeLines="50" w:after="204" w:afterLines="50" w:line="300" w:lineRule="exact"/>
        <w:ind w:firstLine="0" w:firstLineChars="0"/>
        <w:contextualSpacing/>
        <w:jc w:val="left"/>
        <w:rPr>
          <w:rFonts w:cs="仿宋_GB2312"/>
          <w:sz w:val="24"/>
          <w:szCs w:val="24"/>
        </w:rPr>
      </w:pPr>
    </w:p>
    <w:tbl>
      <w:tblPr>
        <w:tblStyle w:val="5"/>
        <w:tblW w:w="14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701"/>
        <w:gridCol w:w="6918"/>
        <w:gridCol w:w="992"/>
        <w:gridCol w:w="1020"/>
        <w:gridCol w:w="124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blHeader/>
          <w:jc w:val="center"/>
        </w:trPr>
        <w:tc>
          <w:tcPr>
            <w:tcW w:w="1586" w:type="dxa"/>
            <w:tcBorders>
              <w:bottom w:val="single" w:color="auto" w:sz="4" w:space="0"/>
            </w:tcBorders>
            <w:shd w:val="clear" w:color="auto" w:fill="auto"/>
            <w:vAlign w:val="center"/>
          </w:tcPr>
          <w:p>
            <w:pPr>
              <w:spacing w:line="360" w:lineRule="exact"/>
              <w:ind w:firstLine="0" w:firstLineChars="0"/>
              <w:contextualSpacing/>
              <w:jc w:val="center"/>
              <w:rPr>
                <w:rFonts w:eastAsia="黑体"/>
                <w:sz w:val="24"/>
                <w:szCs w:val="24"/>
              </w:rPr>
            </w:pPr>
            <w:r>
              <w:rPr>
                <w:rFonts w:hint="eastAsia" w:eastAsia="黑体"/>
                <w:sz w:val="24"/>
                <w:szCs w:val="24"/>
              </w:rPr>
              <w:t>重点内容</w:t>
            </w:r>
          </w:p>
        </w:tc>
        <w:tc>
          <w:tcPr>
            <w:tcW w:w="1701" w:type="dxa"/>
            <w:tcBorders>
              <w:bottom w:val="single" w:color="auto" w:sz="4" w:space="0"/>
            </w:tcBorders>
            <w:shd w:val="clear" w:color="auto" w:fill="auto"/>
            <w:vAlign w:val="center"/>
          </w:tcPr>
          <w:p>
            <w:pPr>
              <w:spacing w:line="360" w:lineRule="exact"/>
              <w:ind w:firstLine="0" w:firstLineChars="0"/>
              <w:contextualSpacing/>
              <w:jc w:val="center"/>
              <w:rPr>
                <w:rFonts w:eastAsia="黑体"/>
                <w:sz w:val="24"/>
                <w:szCs w:val="24"/>
              </w:rPr>
            </w:pPr>
            <w:r>
              <w:rPr>
                <w:rFonts w:hint="eastAsia" w:eastAsia="黑体"/>
                <w:sz w:val="24"/>
                <w:szCs w:val="24"/>
              </w:rPr>
              <w:t>关键</w:t>
            </w:r>
          </w:p>
          <w:p>
            <w:pPr>
              <w:spacing w:line="360" w:lineRule="exact"/>
              <w:ind w:firstLine="0" w:firstLineChars="0"/>
              <w:contextualSpacing/>
              <w:jc w:val="center"/>
              <w:rPr>
                <w:rFonts w:eastAsia="黑体"/>
                <w:sz w:val="24"/>
                <w:szCs w:val="24"/>
              </w:rPr>
            </w:pPr>
            <w:r>
              <w:rPr>
                <w:rFonts w:hint="eastAsia" w:eastAsia="黑体"/>
                <w:sz w:val="24"/>
                <w:szCs w:val="24"/>
              </w:rPr>
              <w:t>指标</w:t>
            </w:r>
          </w:p>
        </w:tc>
        <w:tc>
          <w:tcPr>
            <w:tcW w:w="6918" w:type="dxa"/>
            <w:tcBorders>
              <w:bottom w:val="single" w:color="auto" w:sz="4" w:space="0"/>
            </w:tcBorders>
            <w:shd w:val="clear" w:color="auto" w:fill="auto"/>
            <w:vAlign w:val="center"/>
          </w:tcPr>
          <w:p>
            <w:pPr>
              <w:spacing w:line="360" w:lineRule="exact"/>
              <w:ind w:firstLine="0" w:firstLineChars="0"/>
              <w:contextualSpacing/>
              <w:jc w:val="center"/>
              <w:rPr>
                <w:rFonts w:eastAsia="黑体"/>
                <w:sz w:val="24"/>
                <w:szCs w:val="24"/>
              </w:rPr>
            </w:pPr>
            <w:r>
              <w:rPr>
                <w:rFonts w:hint="eastAsia" w:eastAsia="黑体"/>
                <w:sz w:val="24"/>
                <w:szCs w:val="24"/>
              </w:rPr>
              <w:t>考察要点</w:t>
            </w:r>
          </w:p>
        </w:tc>
        <w:tc>
          <w:tcPr>
            <w:tcW w:w="992" w:type="dxa"/>
            <w:tcBorders>
              <w:bottom w:val="single" w:color="auto" w:sz="4" w:space="0"/>
            </w:tcBorders>
            <w:vAlign w:val="center"/>
          </w:tcPr>
          <w:p>
            <w:pPr>
              <w:spacing w:line="360" w:lineRule="exact"/>
              <w:ind w:firstLine="0" w:firstLineChars="0"/>
              <w:contextualSpacing/>
              <w:jc w:val="center"/>
              <w:rPr>
                <w:rFonts w:eastAsia="黑体"/>
                <w:sz w:val="24"/>
                <w:szCs w:val="24"/>
              </w:rPr>
            </w:pPr>
            <w:r>
              <w:rPr>
                <w:rFonts w:hint="eastAsia" w:eastAsia="黑体"/>
                <w:sz w:val="24"/>
                <w:szCs w:val="24"/>
              </w:rPr>
              <w:t>状态</w:t>
            </w:r>
          </w:p>
          <w:p>
            <w:pPr>
              <w:spacing w:line="360" w:lineRule="exact"/>
              <w:ind w:left="-90" w:leftChars="-30" w:right="-108" w:rightChars="-36" w:firstLine="0" w:firstLineChars="0"/>
              <w:contextualSpacing/>
              <w:jc w:val="center"/>
              <w:rPr>
                <w:rFonts w:eastAsia="黑体"/>
                <w:sz w:val="24"/>
                <w:szCs w:val="24"/>
              </w:rPr>
            </w:pPr>
            <w:r>
              <w:rPr>
                <w:rFonts w:hint="eastAsia" w:eastAsia="黑体"/>
                <w:sz w:val="24"/>
                <w:szCs w:val="24"/>
              </w:rPr>
              <w:t>（程度）</w:t>
            </w:r>
          </w:p>
        </w:tc>
        <w:tc>
          <w:tcPr>
            <w:tcW w:w="1020" w:type="dxa"/>
            <w:tcBorders>
              <w:bottom w:val="single" w:color="auto" w:sz="4" w:space="0"/>
            </w:tcBorders>
            <w:vAlign w:val="center"/>
          </w:tcPr>
          <w:p>
            <w:pPr>
              <w:spacing w:line="360" w:lineRule="exact"/>
              <w:ind w:left="-90" w:leftChars="-30" w:right="-108" w:rightChars="-36" w:firstLine="0" w:firstLineChars="0"/>
              <w:contextualSpacing/>
              <w:jc w:val="center"/>
              <w:rPr>
                <w:rFonts w:eastAsia="黑体"/>
                <w:sz w:val="24"/>
                <w:szCs w:val="24"/>
              </w:rPr>
            </w:pPr>
            <w:r>
              <w:rPr>
                <w:rFonts w:hint="eastAsia" w:eastAsia="黑体"/>
                <w:sz w:val="24"/>
                <w:szCs w:val="24"/>
              </w:rPr>
              <w:t>重点改革指标</w:t>
            </w:r>
          </w:p>
        </w:tc>
        <w:tc>
          <w:tcPr>
            <w:tcW w:w="1248" w:type="dxa"/>
            <w:tcBorders>
              <w:bottom w:val="single" w:color="auto" w:sz="4" w:space="0"/>
            </w:tcBorders>
            <w:vAlign w:val="center"/>
          </w:tcPr>
          <w:p>
            <w:pPr>
              <w:spacing w:line="360" w:lineRule="exact"/>
              <w:ind w:left="-90" w:leftChars="-30" w:right="-108" w:rightChars="-36" w:firstLine="0" w:firstLineChars="0"/>
              <w:contextualSpacing/>
              <w:jc w:val="center"/>
              <w:rPr>
                <w:rFonts w:eastAsia="黑体"/>
                <w:sz w:val="24"/>
                <w:szCs w:val="24"/>
              </w:rPr>
            </w:pPr>
            <w:r>
              <w:rPr>
                <w:rFonts w:hint="eastAsia" w:eastAsia="黑体"/>
                <w:sz w:val="24"/>
                <w:szCs w:val="24"/>
              </w:rPr>
              <w:t>备注</w:t>
            </w:r>
          </w:p>
          <w:p>
            <w:pPr>
              <w:spacing w:line="360" w:lineRule="exact"/>
              <w:ind w:left="-90" w:leftChars="-30" w:right="-108" w:rightChars="-36" w:firstLine="0" w:firstLineChars="0"/>
              <w:contextualSpacing/>
              <w:jc w:val="center"/>
              <w:rPr>
                <w:rFonts w:eastAsia="黑体"/>
                <w:sz w:val="24"/>
                <w:szCs w:val="24"/>
              </w:rPr>
            </w:pPr>
            <w:r>
              <w:rPr>
                <w:rFonts w:hint="eastAsia" w:eastAsia="黑体"/>
                <w:sz w:val="24"/>
                <w:szCs w:val="24"/>
              </w:rPr>
              <w:t>（主要监测点）</w:t>
            </w:r>
          </w:p>
        </w:tc>
        <w:tc>
          <w:tcPr>
            <w:tcW w:w="850" w:type="dxa"/>
            <w:tcBorders>
              <w:bottom w:val="single" w:color="auto" w:sz="4" w:space="0"/>
            </w:tcBorders>
          </w:tcPr>
          <w:p>
            <w:pPr>
              <w:spacing w:line="360" w:lineRule="exact"/>
              <w:ind w:firstLine="0" w:firstLineChars="0"/>
              <w:contextualSpacing/>
              <w:jc w:val="center"/>
              <w:rPr>
                <w:rFonts w:eastAsia="黑体"/>
                <w:sz w:val="24"/>
                <w:szCs w:val="24"/>
              </w:rPr>
            </w:pPr>
            <w:r>
              <w:rPr>
                <w:rFonts w:hint="eastAsia" w:eastAsia="黑体"/>
                <w:sz w:val="24"/>
                <w:szCs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1586"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 xml:space="preserve">A1. </w:t>
            </w:r>
            <w:r>
              <w:rPr>
                <w:rFonts w:hint="eastAsia" w:cs="仿宋_GB2312"/>
                <w:sz w:val="24"/>
                <w:szCs w:val="24"/>
              </w:rPr>
              <w:t>政治教育机制</w:t>
            </w: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B1.</w:t>
            </w:r>
            <w:r>
              <w:rPr>
                <w:rFonts w:hint="eastAsia" w:cs="仿宋_GB2312"/>
                <w:sz w:val="24"/>
                <w:szCs w:val="24"/>
              </w:rPr>
              <w:t>政治教育</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10</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w:t>
            </w:r>
            <w:r>
              <w:rPr>
                <w:rFonts w:hint="eastAsia" w:cs="仿宋_GB2312"/>
                <w:sz w:val="24"/>
                <w:szCs w:val="24"/>
              </w:rPr>
              <w:t>坚持用党的科学理论特别是习近平新时代中国特色社会主义思想武装团员青年头脑，强化政治教育和理想信念教育，每年开展团员理论学习不少于</w:t>
            </w:r>
            <w:r>
              <w:rPr>
                <w:rFonts w:cs="仿宋_GB2312"/>
                <w:sz w:val="24"/>
                <w:szCs w:val="24"/>
              </w:rPr>
              <w:t>4</w:t>
            </w:r>
            <w:r>
              <w:rPr>
                <w:rFonts w:hint="eastAsia" w:cs="仿宋_GB2312"/>
                <w:sz w:val="24"/>
                <w:szCs w:val="24"/>
              </w:rPr>
              <w:t>次（</w:t>
            </w:r>
            <w:r>
              <w:rPr>
                <w:rFonts w:cs="仿宋_GB2312"/>
                <w:sz w:val="24"/>
                <w:szCs w:val="24"/>
              </w:rPr>
              <w:t>8</w:t>
            </w:r>
            <w:r>
              <w:rPr>
                <w:rFonts w:hint="eastAsia" w:cs="仿宋_GB2312"/>
                <w:sz w:val="24"/>
                <w:szCs w:val="24"/>
              </w:rPr>
              <w:t>学时）。（5分）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团支部参与率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w:t>
            </w:r>
            <w:r>
              <w:rPr>
                <w:rFonts w:hint="eastAsia" w:cs="仿宋_GB2312"/>
                <w:sz w:val="24"/>
                <w:szCs w:val="24"/>
              </w:rPr>
              <w:t>常态化开展“四史”教育，团支部组织化学习参与率不低于</w:t>
            </w:r>
            <w:r>
              <w:rPr>
                <w:rFonts w:cs="仿宋_GB2312"/>
                <w:sz w:val="24"/>
                <w:szCs w:val="24"/>
              </w:rPr>
              <w:t>80%</w:t>
            </w:r>
            <w:r>
              <w:rPr>
                <w:rFonts w:hint="eastAsia" w:cs="仿宋_GB2312"/>
                <w:sz w:val="24"/>
                <w:szCs w:val="24"/>
              </w:rPr>
              <w:t>。（5分）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团支部参与率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B2.</w:t>
            </w:r>
            <w:r>
              <w:rPr>
                <w:rFonts w:hint="eastAsia" w:cs="仿宋_GB2312"/>
                <w:sz w:val="24"/>
                <w:szCs w:val="24"/>
              </w:rPr>
              <w:t>政治举荐</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10</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C3.</w:t>
            </w:r>
            <w:r>
              <w:rPr>
                <w:rFonts w:hint="eastAsia" w:cs="仿宋_GB2312"/>
                <w:sz w:val="24"/>
                <w:szCs w:val="24"/>
              </w:rPr>
              <w:t>落实“两个一般、两个主要”规定，经团组织规范程序推优入党比例达到</w:t>
            </w:r>
            <w:r>
              <w:rPr>
                <w:rFonts w:cs="仿宋_GB2312"/>
                <w:sz w:val="24"/>
                <w:szCs w:val="24"/>
              </w:rPr>
              <w:t>60%</w:t>
            </w:r>
            <w:r>
              <w:rPr>
                <w:rFonts w:hint="eastAsia" w:cs="仿宋_GB2312"/>
                <w:sz w:val="24"/>
                <w:szCs w:val="24"/>
              </w:rPr>
              <w:t>以上。（7分）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推优入党率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C4.</w:t>
            </w:r>
            <w:r>
              <w:rPr>
                <w:rFonts w:hint="eastAsia" w:cs="仿宋_GB2312"/>
                <w:sz w:val="24"/>
                <w:szCs w:val="24"/>
              </w:rPr>
              <w:t>深化“青马工程”，引导青年政治骨干坚定理想信念，深入基层学习锻炼，学员中</w:t>
            </w:r>
            <w:r>
              <w:rPr>
                <w:rFonts w:hint="eastAsia" w:cs="仿宋_GB2312"/>
                <w:bCs/>
                <w:sz w:val="24"/>
                <w:szCs w:val="24"/>
              </w:rPr>
              <w:t>学生团干部占比</w:t>
            </w:r>
            <w:r>
              <w:rPr>
                <w:rFonts w:cs="仿宋_GB2312"/>
                <w:bCs/>
                <w:sz w:val="24"/>
                <w:szCs w:val="24"/>
              </w:rPr>
              <w:t>60%</w:t>
            </w:r>
            <w:r>
              <w:rPr>
                <w:rFonts w:hint="eastAsia" w:cs="仿宋_GB2312"/>
                <w:bCs/>
                <w:sz w:val="24"/>
                <w:szCs w:val="24"/>
              </w:rPr>
              <w:t>以上</w:t>
            </w:r>
            <w:r>
              <w:rPr>
                <w:rFonts w:hint="eastAsia" w:cs="仿宋_GB2312"/>
                <w:sz w:val="24"/>
                <w:szCs w:val="24"/>
              </w:rPr>
              <w:t>。（3分）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课程设置清单、学员结构比例</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Align w:val="center"/>
          </w:tcPr>
          <w:p>
            <w:pPr>
              <w:spacing w:line="360" w:lineRule="exact"/>
              <w:ind w:firstLine="0" w:firstLineChars="0"/>
              <w:contextualSpacing/>
              <w:jc w:val="center"/>
              <w:rPr>
                <w:rFonts w:cs="仿宋_GB2312"/>
                <w:sz w:val="24"/>
                <w:szCs w:val="24"/>
              </w:rPr>
            </w:pPr>
            <w:r>
              <w:rPr>
                <w:rFonts w:cs="仿宋_GB2312"/>
                <w:sz w:val="24"/>
                <w:szCs w:val="24"/>
              </w:rPr>
              <w:t>B3.</w:t>
            </w:r>
            <w:r>
              <w:rPr>
                <w:rFonts w:hint="eastAsia" w:cs="仿宋_GB2312"/>
                <w:sz w:val="24"/>
                <w:szCs w:val="24"/>
              </w:rPr>
              <w:t>意识形态</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6</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C5.</w:t>
            </w:r>
            <w:r>
              <w:rPr>
                <w:rFonts w:hint="eastAsia" w:cs="仿宋_GB2312"/>
                <w:sz w:val="24"/>
                <w:szCs w:val="24"/>
              </w:rPr>
              <w:t>落实意识形态工作责任制，</w:t>
            </w:r>
            <w:r>
              <w:rPr>
                <w:rFonts w:hint="eastAsia" w:cs="仿宋_GB2312"/>
                <w:bCs/>
                <w:sz w:val="24"/>
                <w:szCs w:val="24"/>
              </w:rPr>
              <w:t>加强对学生思想动态的常态化监测，</w:t>
            </w:r>
            <w:r>
              <w:rPr>
                <w:rFonts w:hint="eastAsia" w:cs="仿宋_GB2312"/>
                <w:sz w:val="24"/>
                <w:szCs w:val="24"/>
              </w:rPr>
              <w:t>强化各类团属阵地管理，</w:t>
            </w:r>
            <w:r>
              <w:rPr>
                <w:rFonts w:hint="eastAsia" w:cs="仿宋_GB2312"/>
                <w:bCs/>
                <w:sz w:val="24"/>
                <w:szCs w:val="24"/>
              </w:rPr>
              <w:t>防范化解风险，做好舆情处置</w:t>
            </w:r>
            <w:r>
              <w:rPr>
                <w:rFonts w:hint="eastAsia" w:cs="仿宋_GB2312"/>
                <w:sz w:val="24"/>
                <w:szCs w:val="24"/>
              </w:rPr>
              <w:t>。（6分）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舆情监测</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586"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 xml:space="preserve">A2. </w:t>
            </w:r>
            <w:r>
              <w:rPr>
                <w:rFonts w:hint="eastAsia" w:cs="仿宋_GB2312"/>
                <w:sz w:val="24"/>
                <w:szCs w:val="24"/>
              </w:rPr>
              <w:t>实践教育机制</w:t>
            </w: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B4.</w:t>
            </w:r>
            <w:r>
              <w:rPr>
                <w:rFonts w:hint="eastAsia" w:cs="仿宋_GB2312"/>
                <w:sz w:val="24"/>
                <w:szCs w:val="24"/>
              </w:rPr>
              <w:t>育人</w:t>
            </w:r>
          </w:p>
          <w:p>
            <w:pPr>
              <w:spacing w:line="360" w:lineRule="exact"/>
              <w:ind w:firstLine="0" w:firstLineChars="0"/>
              <w:contextualSpacing/>
              <w:jc w:val="center"/>
              <w:rPr>
                <w:rFonts w:cs="仿宋_GB2312"/>
                <w:sz w:val="24"/>
                <w:szCs w:val="24"/>
              </w:rPr>
            </w:pPr>
            <w:r>
              <w:rPr>
                <w:rFonts w:hint="eastAsia" w:cs="仿宋_GB2312"/>
                <w:sz w:val="24"/>
                <w:szCs w:val="24"/>
              </w:rPr>
              <w:t>载体</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C6.</w:t>
            </w:r>
            <w:r>
              <w:rPr>
                <w:rFonts w:hint="eastAsia" w:cs="仿宋_GB2312"/>
                <w:sz w:val="24"/>
                <w:szCs w:val="24"/>
              </w:rPr>
              <w:t>引导团员在社会中彰显先进性，本专科阶段每名学生在校期间至少参加</w:t>
            </w:r>
            <w:r>
              <w:rPr>
                <w:rFonts w:cs="仿宋_GB2312"/>
                <w:sz w:val="24"/>
                <w:szCs w:val="24"/>
              </w:rPr>
              <w:t>1</w:t>
            </w:r>
            <w:r>
              <w:rPr>
                <w:rFonts w:hint="eastAsia" w:cs="仿宋_GB2312"/>
                <w:sz w:val="24"/>
                <w:szCs w:val="24"/>
              </w:rPr>
              <w:t>次“三下乡”或“返家乡”等社会实践，鼓励研究生在校期间结合专业方向参加社会实践。（3分）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社会实践参与率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586" w:type="dxa"/>
            <w:vMerge w:val="continue"/>
            <w:vAlign w:val="center"/>
          </w:tcPr>
          <w:p>
            <w:pPr>
              <w:spacing w:line="360" w:lineRule="exact"/>
              <w:ind w:firstLine="48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C7.</w:t>
            </w:r>
            <w:r>
              <w:rPr>
                <w:rFonts w:hint="eastAsia" w:cs="仿宋_GB2312"/>
                <w:sz w:val="24"/>
                <w:szCs w:val="24"/>
              </w:rPr>
              <w:t>常态化、制度化开展志愿服务，建立学生团员向社区（村）和“青年之家”报到工作机制，团员成为注册志愿者、年度志愿服务时长不少于</w:t>
            </w:r>
            <w:r>
              <w:rPr>
                <w:rFonts w:cs="仿宋_GB2312"/>
                <w:sz w:val="24"/>
                <w:szCs w:val="24"/>
              </w:rPr>
              <w:t>20</w:t>
            </w:r>
            <w:r>
              <w:rPr>
                <w:rFonts w:hint="eastAsia" w:cs="仿宋_GB2312"/>
                <w:sz w:val="24"/>
                <w:szCs w:val="24"/>
              </w:rPr>
              <w:t>小时。（5分）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项目清单、服务记录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B5.</w:t>
            </w:r>
            <w:r>
              <w:rPr>
                <w:rFonts w:hint="eastAsia" w:cs="仿宋_GB2312"/>
                <w:sz w:val="24"/>
                <w:szCs w:val="24"/>
              </w:rPr>
              <w:t>第二课堂成绩单</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C8.</w:t>
            </w:r>
            <w:r>
              <w:rPr>
                <w:rFonts w:hint="eastAsia" w:cs="仿宋_GB2312"/>
                <w:sz w:val="24"/>
                <w:szCs w:val="24"/>
              </w:rPr>
              <w:t>制定共青团“第二课堂成绩单”工作方案，建立课程项目体系，强化思想政治引领，持续提高课程质量。（2分）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工作方案、课程项目清单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C9.</w:t>
            </w:r>
            <w:r>
              <w:rPr>
                <w:rFonts w:hint="eastAsia" w:cs="仿宋_GB2312"/>
                <w:sz w:val="24"/>
                <w:szCs w:val="24"/>
              </w:rPr>
              <w:t>实施学分制（积分制、学时制），</w:t>
            </w:r>
            <w:r>
              <w:rPr>
                <w:rFonts w:hint="eastAsia" w:cs="仿宋_GB2312"/>
                <w:bCs/>
                <w:sz w:val="24"/>
                <w:szCs w:val="24"/>
              </w:rPr>
              <w:t>形成具有社会公信度和素质能力证明功能的“第二课堂成绩单”</w:t>
            </w:r>
            <w:r>
              <w:rPr>
                <w:rFonts w:hint="eastAsia" w:cs="仿宋_GB2312"/>
                <w:sz w:val="24"/>
                <w:szCs w:val="24"/>
              </w:rPr>
              <w:t>。（2分）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配套制度、成绩单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C10.</w:t>
            </w:r>
            <w:r>
              <w:rPr>
                <w:rFonts w:hint="eastAsia" w:cs="仿宋_GB2312"/>
                <w:sz w:val="24"/>
                <w:szCs w:val="24"/>
              </w:rPr>
              <w:t>强化价值应用，将“第二课堂成绩单”作为学生综合素质测评、评奖评优、团员评议、升本推研、推优入党、求职就业等基本资格或重要参考。（4分）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配套制度和落实情况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B6.</w:t>
            </w:r>
            <w:r>
              <w:rPr>
                <w:rFonts w:hint="eastAsia" w:cs="仿宋_GB2312"/>
                <w:sz w:val="24"/>
                <w:szCs w:val="24"/>
              </w:rPr>
              <w:t>就业</w:t>
            </w:r>
          </w:p>
          <w:p>
            <w:pPr>
              <w:spacing w:line="360" w:lineRule="exact"/>
              <w:ind w:firstLine="0" w:firstLineChars="0"/>
              <w:contextualSpacing/>
              <w:jc w:val="center"/>
              <w:rPr>
                <w:rFonts w:cs="仿宋_GB2312"/>
                <w:sz w:val="24"/>
                <w:szCs w:val="24"/>
              </w:rPr>
            </w:pPr>
            <w:r>
              <w:rPr>
                <w:rFonts w:hint="eastAsia" w:cs="仿宋_GB2312"/>
                <w:sz w:val="24"/>
                <w:szCs w:val="24"/>
              </w:rPr>
              <w:t>创业</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C11.</w:t>
            </w:r>
            <w:r>
              <w:rPr>
                <w:rFonts w:hint="eastAsia" w:cs="仿宋_GB2312"/>
                <w:sz w:val="24"/>
                <w:szCs w:val="24"/>
              </w:rPr>
              <w:t>落实青年就业促进计划，引导学生树立正确就业观念，通过开展“扬帆计划”等实习实践活动，提高学生社会化能力和就业能力，精准帮助困难学生，扎实开展“千校万岗”大学生就业服务活动。（5分）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校级项目清单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C12.</w:t>
            </w:r>
            <w:r>
              <w:rPr>
                <w:rFonts w:hint="eastAsia" w:cs="仿宋_GB2312"/>
                <w:sz w:val="24"/>
                <w:szCs w:val="24"/>
              </w:rPr>
              <w:t>广泛开展“挑战杯”“中国青年志愿服务公益创业赛”等创新创业活动，培养学生创新精神、实践能力与创业意识。（3分）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校级项目清单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6"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 xml:space="preserve">A3. </w:t>
            </w:r>
            <w:r>
              <w:rPr>
                <w:rFonts w:hint="eastAsia" w:cs="仿宋_GB2312"/>
                <w:sz w:val="24"/>
                <w:szCs w:val="24"/>
              </w:rPr>
              <w:t>组织</w:t>
            </w:r>
          </w:p>
          <w:p>
            <w:pPr>
              <w:spacing w:line="360" w:lineRule="exact"/>
              <w:ind w:firstLine="0" w:firstLineChars="0"/>
              <w:contextualSpacing/>
              <w:jc w:val="center"/>
              <w:rPr>
                <w:rFonts w:cs="仿宋_GB2312"/>
                <w:sz w:val="24"/>
                <w:szCs w:val="24"/>
              </w:rPr>
            </w:pPr>
            <w:r>
              <w:rPr>
                <w:rFonts w:hint="eastAsia" w:cs="仿宋_GB2312"/>
                <w:sz w:val="24"/>
                <w:szCs w:val="24"/>
              </w:rPr>
              <w:t>建设</w:t>
            </w:r>
          </w:p>
          <w:p>
            <w:pPr>
              <w:spacing w:line="360" w:lineRule="exact"/>
              <w:ind w:firstLine="0" w:firstLineChars="0"/>
              <w:contextualSpacing/>
              <w:jc w:val="center"/>
              <w:rPr>
                <w:rFonts w:cs="仿宋_GB2312"/>
                <w:sz w:val="24"/>
                <w:szCs w:val="24"/>
              </w:rPr>
            </w:pPr>
            <w:r>
              <w:rPr>
                <w:rFonts w:hint="eastAsia" w:cs="仿宋_GB2312"/>
                <w:sz w:val="24"/>
                <w:szCs w:val="24"/>
              </w:rPr>
              <w:t>机制</w:t>
            </w: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B7.</w:t>
            </w:r>
            <w:r>
              <w:rPr>
                <w:rFonts w:hint="eastAsia" w:cs="仿宋_GB2312"/>
                <w:sz w:val="24"/>
                <w:szCs w:val="24"/>
              </w:rPr>
              <w:t>共青团</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C13.</w:t>
            </w:r>
            <w:r>
              <w:rPr>
                <w:rFonts w:hint="eastAsia" w:cs="仿宋_GB2312"/>
                <w:sz w:val="24"/>
                <w:szCs w:val="24"/>
              </w:rPr>
              <w:t>构建党委领导下共青团主导的团学组织格局，有效覆盖各类学生群体。按期规范召开校级和院系团的代表大会。（3分）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规范召开团代会情况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C14.</w:t>
            </w:r>
            <w:r>
              <w:rPr>
                <w:rFonts w:hint="eastAsia" w:cs="仿宋_GB2312"/>
                <w:sz w:val="24"/>
                <w:szCs w:val="24"/>
              </w:rPr>
              <w:t>加强团员教育管理，结合“两制”每年开展</w:t>
            </w:r>
            <w:r>
              <w:rPr>
                <w:rFonts w:cs="仿宋_GB2312"/>
                <w:sz w:val="24"/>
                <w:szCs w:val="24"/>
              </w:rPr>
              <w:t>1</w:t>
            </w:r>
            <w:r>
              <w:rPr>
                <w:rFonts w:hint="eastAsia" w:cs="仿宋_GB2312"/>
                <w:sz w:val="24"/>
                <w:szCs w:val="24"/>
              </w:rPr>
              <w:t>次团员先进性评价，构建阶梯化激励体系，学社衔接发起率达</w:t>
            </w:r>
            <w:r>
              <w:rPr>
                <w:rFonts w:cs="仿宋_GB2312"/>
                <w:sz w:val="24"/>
                <w:szCs w:val="24"/>
              </w:rPr>
              <w:t>90%</w:t>
            </w:r>
            <w:r>
              <w:rPr>
                <w:rFonts w:hint="eastAsia" w:cs="仿宋_GB2312"/>
                <w:sz w:val="24"/>
                <w:szCs w:val="24"/>
              </w:rPr>
              <w:t>以上。（3分）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先进性评价覆盖率、学社衔接率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C15.</w:t>
            </w:r>
            <w:r>
              <w:rPr>
                <w:rFonts w:hint="eastAsia" w:cs="仿宋_GB2312"/>
                <w:sz w:val="24"/>
                <w:szCs w:val="24"/>
              </w:rPr>
              <w:t>突出团支部引领主导作用，规范开展“三会两制一课”、主题团日，每年至少召开</w:t>
            </w:r>
            <w:r>
              <w:rPr>
                <w:rFonts w:cs="仿宋_GB2312"/>
                <w:sz w:val="24"/>
                <w:szCs w:val="24"/>
              </w:rPr>
              <w:t>1</w:t>
            </w:r>
            <w:r>
              <w:rPr>
                <w:rFonts w:hint="eastAsia" w:cs="仿宋_GB2312"/>
                <w:sz w:val="24"/>
                <w:szCs w:val="24"/>
              </w:rPr>
              <w:t>次组织生活会。（2分）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图文资料、活动清单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B8.</w:t>
            </w:r>
            <w:r>
              <w:rPr>
                <w:rFonts w:hint="eastAsia" w:cs="仿宋_GB2312"/>
                <w:sz w:val="24"/>
                <w:szCs w:val="24"/>
              </w:rPr>
              <w:t>学生会</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C16.</w:t>
            </w:r>
            <w:r>
              <w:rPr>
                <w:rFonts w:hint="eastAsia" w:cs="仿宋_GB2312"/>
                <w:sz w:val="24"/>
                <w:szCs w:val="24"/>
              </w:rPr>
              <w:t>学生会组织建设纳入学校党建工作整体规划，党组织每年至少听取1次学生会组织工作汇报，研究决定重大事项。（2分）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会议纪要</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C17.</w:t>
            </w:r>
            <w:r>
              <w:rPr>
                <w:rFonts w:hint="eastAsia" w:cs="仿宋_GB2312"/>
                <w:sz w:val="24"/>
                <w:szCs w:val="24"/>
              </w:rPr>
              <w:t>巩固健全改革机制，坚持精干职能、精简机构、力量下沉，按期规范召开学生代表大会。学生会改革建设情况按要求公示，主动接受师生监督。（3分）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学生会工作年度公示</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C18.</w:t>
            </w:r>
            <w:r>
              <w:rPr>
                <w:rFonts w:hint="eastAsia" w:cs="仿宋_GB2312"/>
                <w:sz w:val="24"/>
                <w:szCs w:val="24"/>
              </w:rPr>
              <w:t>聚焦学业就业等学生核心需求，形成一批做得实、叫得响的服务项目。（1分）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服务项目清单</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C19.</w:t>
            </w:r>
            <w:r>
              <w:rPr>
                <w:rFonts w:hint="eastAsia" w:cs="仿宋_GB2312"/>
                <w:sz w:val="24"/>
                <w:szCs w:val="24"/>
              </w:rPr>
              <w:t>坚持从严治会，师生对学生会组织和工作人员的满意度稳步提升。（2分）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满意度测评</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B9.</w:t>
            </w:r>
            <w:r>
              <w:rPr>
                <w:rFonts w:hint="eastAsia" w:cs="仿宋_GB2312"/>
                <w:sz w:val="24"/>
                <w:szCs w:val="24"/>
              </w:rPr>
              <w:t>学生</w:t>
            </w:r>
          </w:p>
          <w:p>
            <w:pPr>
              <w:spacing w:line="360" w:lineRule="exact"/>
              <w:ind w:firstLine="0" w:firstLineChars="0"/>
              <w:contextualSpacing/>
              <w:jc w:val="center"/>
              <w:rPr>
                <w:rFonts w:cs="仿宋_GB2312"/>
                <w:sz w:val="24"/>
                <w:szCs w:val="24"/>
              </w:rPr>
            </w:pPr>
            <w:r>
              <w:rPr>
                <w:rFonts w:hint="eastAsia" w:cs="仿宋_GB2312"/>
                <w:sz w:val="24"/>
                <w:szCs w:val="24"/>
              </w:rPr>
              <w:t>社团</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C20.</w:t>
            </w:r>
            <w:r>
              <w:rPr>
                <w:rFonts w:hint="eastAsia" w:cs="仿宋_GB2312"/>
                <w:sz w:val="24"/>
                <w:szCs w:val="24"/>
              </w:rPr>
              <w:t>把学生社团工作纳入学校思政工作和群团工作整体格局，党组织每年至少听取1次学生社团工作汇报。学校团委</w:t>
            </w:r>
            <w:r>
              <w:rPr>
                <w:rFonts w:hint="eastAsia" w:cs="仿宋_GB2312"/>
                <w:bCs/>
                <w:sz w:val="24"/>
                <w:szCs w:val="24"/>
              </w:rPr>
              <w:t>成立学生社团管理部门，配备专职工作人员</w:t>
            </w:r>
            <w:r>
              <w:rPr>
                <w:rFonts w:hint="eastAsia" w:cs="仿宋_GB2312"/>
                <w:sz w:val="24"/>
                <w:szCs w:val="24"/>
              </w:rPr>
              <w:t>。（2分）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会议纪要、</w:t>
            </w:r>
          </w:p>
          <w:p>
            <w:pPr>
              <w:spacing w:line="360" w:lineRule="exact"/>
              <w:ind w:firstLine="0" w:firstLineChars="0"/>
              <w:contextualSpacing/>
              <w:jc w:val="center"/>
              <w:rPr>
                <w:rFonts w:cs="仿宋_GB2312"/>
                <w:sz w:val="24"/>
                <w:szCs w:val="24"/>
              </w:rPr>
            </w:pPr>
            <w:r>
              <w:rPr>
                <w:rFonts w:hint="eastAsia" w:cs="仿宋_GB2312"/>
                <w:sz w:val="24"/>
                <w:szCs w:val="24"/>
              </w:rPr>
              <w:t>部门设置情况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C21.</w:t>
            </w:r>
            <w:r>
              <w:rPr>
                <w:rFonts w:hint="eastAsia" w:cs="仿宋_GB2312"/>
                <w:sz w:val="24"/>
                <w:szCs w:val="24"/>
              </w:rPr>
              <w:t>严格执行学生社团注册登记和年审制度，规范学生社团活动审批和管理，积极开展方向正确、健康向上、格调高雅、形式多样的社团活动。（4分）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社团注册年审</w:t>
            </w:r>
          </w:p>
          <w:p>
            <w:pPr>
              <w:spacing w:line="360" w:lineRule="exact"/>
              <w:ind w:firstLine="0" w:firstLineChars="0"/>
              <w:contextualSpacing/>
              <w:jc w:val="center"/>
              <w:rPr>
                <w:rFonts w:cs="仿宋_GB2312"/>
                <w:sz w:val="24"/>
                <w:szCs w:val="24"/>
              </w:rPr>
            </w:pPr>
            <w:r>
              <w:rPr>
                <w:rFonts w:hint="eastAsia" w:cs="仿宋_GB2312"/>
                <w:sz w:val="24"/>
                <w:szCs w:val="24"/>
              </w:rPr>
              <w:t>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C22.</w:t>
            </w:r>
            <w:r>
              <w:rPr>
                <w:rFonts w:hint="eastAsia" w:cs="仿宋_GB2312"/>
                <w:sz w:val="24"/>
                <w:szCs w:val="24"/>
              </w:rPr>
              <w:t>配强学生社团指导教师，</w:t>
            </w:r>
            <w:r>
              <w:rPr>
                <w:rFonts w:hint="eastAsia" w:cs="仿宋_GB2312"/>
                <w:bCs/>
                <w:sz w:val="24"/>
                <w:szCs w:val="24"/>
              </w:rPr>
              <w:t>思政类、志愿公益类社团指导教师为中共党员</w:t>
            </w:r>
            <w:r>
              <w:rPr>
                <w:rFonts w:hint="eastAsia" w:cs="仿宋_GB2312"/>
                <w:sz w:val="24"/>
                <w:szCs w:val="24"/>
              </w:rPr>
              <w:t>。（2分）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指导教师配备</w:t>
            </w:r>
          </w:p>
          <w:p>
            <w:pPr>
              <w:spacing w:line="360" w:lineRule="exact"/>
              <w:ind w:firstLine="0" w:firstLineChars="0"/>
              <w:contextualSpacing/>
              <w:jc w:val="center"/>
              <w:rPr>
                <w:rFonts w:cs="仿宋_GB2312"/>
                <w:sz w:val="24"/>
                <w:szCs w:val="24"/>
              </w:rPr>
            </w:pPr>
            <w:r>
              <w:rPr>
                <w:rFonts w:hint="eastAsia" w:cs="仿宋_GB2312"/>
                <w:sz w:val="24"/>
                <w:szCs w:val="24"/>
              </w:rPr>
              <w:t>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586"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A4.</w:t>
            </w:r>
          </w:p>
          <w:p>
            <w:pPr>
              <w:spacing w:line="360" w:lineRule="exact"/>
              <w:ind w:firstLine="0" w:firstLineChars="0"/>
              <w:contextualSpacing/>
              <w:jc w:val="center"/>
              <w:rPr>
                <w:rFonts w:cs="仿宋_GB2312"/>
                <w:sz w:val="24"/>
                <w:szCs w:val="24"/>
              </w:rPr>
            </w:pPr>
            <w:r>
              <w:rPr>
                <w:rFonts w:hint="eastAsia" w:cs="仿宋_GB2312"/>
                <w:sz w:val="24"/>
                <w:szCs w:val="24"/>
              </w:rPr>
              <w:t>保障</w:t>
            </w:r>
          </w:p>
          <w:p>
            <w:pPr>
              <w:spacing w:line="360" w:lineRule="exact"/>
              <w:ind w:firstLine="0" w:firstLineChars="0"/>
              <w:contextualSpacing/>
              <w:jc w:val="center"/>
              <w:rPr>
                <w:rFonts w:cs="仿宋_GB2312"/>
                <w:sz w:val="24"/>
                <w:szCs w:val="24"/>
              </w:rPr>
            </w:pPr>
            <w:r>
              <w:rPr>
                <w:rFonts w:hint="eastAsia" w:cs="仿宋_GB2312"/>
                <w:sz w:val="24"/>
                <w:szCs w:val="24"/>
              </w:rPr>
              <w:t>支持</w:t>
            </w:r>
          </w:p>
          <w:p>
            <w:pPr>
              <w:spacing w:line="360" w:lineRule="exact"/>
              <w:ind w:firstLine="0" w:firstLineChars="0"/>
              <w:contextualSpacing/>
              <w:jc w:val="center"/>
              <w:rPr>
                <w:rFonts w:cs="仿宋_GB2312"/>
                <w:sz w:val="24"/>
                <w:szCs w:val="24"/>
              </w:rPr>
            </w:pPr>
            <w:r>
              <w:rPr>
                <w:rFonts w:hint="eastAsia" w:cs="仿宋_GB2312"/>
                <w:sz w:val="24"/>
                <w:szCs w:val="24"/>
              </w:rPr>
              <w:t>机制</w:t>
            </w: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B10.</w:t>
            </w:r>
            <w:r>
              <w:rPr>
                <w:rFonts w:hint="eastAsia" w:cs="仿宋_GB2312"/>
                <w:sz w:val="24"/>
                <w:szCs w:val="24"/>
              </w:rPr>
              <w:t>组织领导</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10</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C23.</w:t>
            </w:r>
            <w:r>
              <w:rPr>
                <w:rFonts w:hint="eastAsia" w:cs="仿宋_GB2312"/>
                <w:sz w:val="24"/>
                <w:szCs w:val="24"/>
              </w:rPr>
              <w:t>将团的建设纳入高校党的建设总体格局同规划、同部署、同考核，团的工作考核分值</w:t>
            </w:r>
            <w:r>
              <w:rPr>
                <w:rFonts w:hint="eastAsia" w:cs="仿宋_GB2312"/>
                <w:bCs/>
                <w:sz w:val="24"/>
                <w:szCs w:val="24"/>
              </w:rPr>
              <w:t>占比不低于</w:t>
            </w:r>
            <w:r>
              <w:rPr>
                <w:rFonts w:cs="仿宋_GB2312"/>
                <w:bCs/>
                <w:sz w:val="24"/>
                <w:szCs w:val="24"/>
              </w:rPr>
              <w:t>10%</w:t>
            </w:r>
            <w:r>
              <w:rPr>
                <w:rFonts w:hint="eastAsia" w:cs="仿宋_GB2312"/>
                <w:sz w:val="24"/>
                <w:szCs w:val="24"/>
              </w:rPr>
              <w:t>。（7分）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纳入考核情况及占比</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continue"/>
            <w:vAlign w:val="center"/>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C24.</w:t>
            </w:r>
            <w:r>
              <w:rPr>
                <w:rFonts w:hint="eastAsia" w:cs="仿宋_GB2312"/>
                <w:sz w:val="24"/>
                <w:szCs w:val="24"/>
              </w:rPr>
              <w:t>学校党委每年至少召开</w:t>
            </w:r>
            <w:r>
              <w:rPr>
                <w:rFonts w:cs="仿宋_GB2312"/>
                <w:sz w:val="24"/>
                <w:szCs w:val="24"/>
              </w:rPr>
              <w:t>1</w:t>
            </w:r>
            <w:r>
              <w:rPr>
                <w:rFonts w:hint="eastAsia" w:cs="仿宋_GB2312"/>
                <w:sz w:val="24"/>
                <w:szCs w:val="24"/>
              </w:rPr>
              <w:t>次专题会议研究团的工作，由班子成员中</w:t>
            </w:r>
            <w:r>
              <w:rPr>
                <w:rFonts w:cs="仿宋_GB2312"/>
                <w:sz w:val="24"/>
                <w:szCs w:val="24"/>
              </w:rPr>
              <w:t>1</w:t>
            </w:r>
            <w:r>
              <w:rPr>
                <w:rFonts w:hint="eastAsia" w:cs="仿宋_GB2312"/>
                <w:sz w:val="24"/>
                <w:szCs w:val="24"/>
              </w:rPr>
              <w:t>名副书记分管、</w:t>
            </w:r>
            <w:r>
              <w:rPr>
                <w:rFonts w:cs="仿宋_GB2312"/>
                <w:sz w:val="24"/>
                <w:szCs w:val="24"/>
              </w:rPr>
              <w:t>1</w:t>
            </w:r>
            <w:r>
              <w:rPr>
                <w:rFonts w:hint="eastAsia" w:cs="仿宋_GB2312"/>
                <w:sz w:val="24"/>
                <w:szCs w:val="24"/>
              </w:rPr>
              <w:t>名副校长联系共青团工作，有指导、有安排、有支持（3分）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会议纪要</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1586" w:type="dxa"/>
            <w:vMerge w:val="continue"/>
            <w:vAlign w:val="center"/>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B11.</w:t>
            </w:r>
            <w:r>
              <w:rPr>
                <w:rFonts w:hint="eastAsia" w:cs="仿宋_GB2312"/>
                <w:sz w:val="24"/>
                <w:szCs w:val="24"/>
              </w:rPr>
              <w:t>队伍建设</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C25.</w:t>
            </w:r>
            <w:r>
              <w:rPr>
                <w:rFonts w:hint="eastAsia" w:cs="仿宋_GB2312"/>
                <w:sz w:val="24"/>
                <w:szCs w:val="24"/>
              </w:rPr>
              <w:t>依照标准足额核定团委专职干部职数、编制。校级团委书记按学校中层正职干部配备和管理，院系团组织书记为专职干部的，按院系中层正职干部配备和管理。（4分）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B</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专职干部配备</w:t>
            </w:r>
          </w:p>
          <w:p>
            <w:pPr>
              <w:spacing w:line="360" w:lineRule="exact"/>
              <w:ind w:firstLine="0" w:firstLineChars="0"/>
              <w:contextualSpacing/>
              <w:jc w:val="center"/>
              <w:rPr>
                <w:rFonts w:cs="仿宋_GB2312"/>
                <w:sz w:val="24"/>
                <w:szCs w:val="24"/>
              </w:rPr>
            </w:pPr>
            <w:r>
              <w:rPr>
                <w:rFonts w:hint="eastAsia" w:cs="仿宋_GB2312"/>
                <w:sz w:val="24"/>
                <w:szCs w:val="24"/>
              </w:rPr>
              <w:t>达标率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86" w:type="dxa"/>
            <w:vMerge w:val="continue"/>
          </w:tcPr>
          <w:p>
            <w:pPr>
              <w:spacing w:line="360" w:lineRule="exact"/>
              <w:ind w:firstLine="0" w:firstLineChars="0"/>
              <w:contextualSpacing/>
              <w:jc w:val="center"/>
              <w:rPr>
                <w:rFonts w:cs="仿宋_GB2312"/>
                <w:sz w:val="24"/>
                <w:szCs w:val="24"/>
              </w:rPr>
            </w:pPr>
          </w:p>
        </w:tc>
        <w:tc>
          <w:tcPr>
            <w:tcW w:w="1701" w:type="dxa"/>
            <w:vMerge w:val="continue"/>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C26.</w:t>
            </w:r>
            <w:r>
              <w:rPr>
                <w:rFonts w:hint="eastAsia" w:cs="仿宋_GB2312"/>
                <w:sz w:val="24"/>
                <w:szCs w:val="24"/>
              </w:rPr>
              <w:t>落实教师团干部在课时计算、职称评定、职级待遇、工作考核等方面的保障政策。（2分）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r>
              <w:rPr>
                <w:rFonts w:cs="仿宋_GB2312"/>
                <w:sz w:val="24"/>
                <w:szCs w:val="24"/>
              </w:rPr>
              <w:t xml:space="preserve"> </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相应配套文件和落实情况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86" w:type="dxa"/>
            <w:vMerge w:val="continue"/>
          </w:tcPr>
          <w:p>
            <w:pPr>
              <w:spacing w:line="360" w:lineRule="exact"/>
              <w:ind w:firstLine="0" w:firstLineChars="0"/>
              <w:contextualSpacing/>
              <w:jc w:val="center"/>
              <w:rPr>
                <w:rFonts w:cs="仿宋_GB2312"/>
                <w:sz w:val="24"/>
                <w:szCs w:val="24"/>
              </w:rPr>
            </w:pPr>
          </w:p>
        </w:tc>
        <w:tc>
          <w:tcPr>
            <w:tcW w:w="1701" w:type="dxa"/>
            <w:vMerge w:val="continue"/>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C27.</w:t>
            </w:r>
            <w:r>
              <w:rPr>
                <w:rFonts w:hint="eastAsia" w:cs="仿宋_GB2312"/>
                <w:sz w:val="24"/>
                <w:szCs w:val="24"/>
              </w:rPr>
              <w:t>落实团干部年度述职评议制度，强化结果运用，区分档次、奖优罚劣。（2分）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述职评议开展率</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86" w:type="dxa"/>
            <w:vMerge w:val="continue"/>
          </w:tcPr>
          <w:p>
            <w:pPr>
              <w:spacing w:line="360" w:lineRule="exact"/>
              <w:ind w:firstLine="0" w:firstLineChars="0"/>
              <w:contextualSpacing/>
              <w:jc w:val="center"/>
              <w:rPr>
                <w:rFonts w:cs="仿宋_GB2312"/>
                <w:sz w:val="24"/>
                <w:szCs w:val="24"/>
              </w:rPr>
            </w:pPr>
          </w:p>
        </w:tc>
        <w:tc>
          <w:tcPr>
            <w:tcW w:w="1701" w:type="dxa"/>
            <w:vMerge w:val="restart"/>
            <w:vAlign w:val="center"/>
          </w:tcPr>
          <w:p>
            <w:pPr>
              <w:spacing w:line="360" w:lineRule="exact"/>
              <w:ind w:firstLine="0" w:firstLineChars="0"/>
              <w:contextualSpacing/>
              <w:jc w:val="center"/>
              <w:rPr>
                <w:rFonts w:cs="仿宋_GB2312"/>
                <w:sz w:val="24"/>
                <w:szCs w:val="24"/>
              </w:rPr>
            </w:pPr>
            <w:r>
              <w:rPr>
                <w:rFonts w:cs="仿宋_GB2312"/>
                <w:sz w:val="24"/>
                <w:szCs w:val="24"/>
              </w:rPr>
              <w:t>B12.</w:t>
            </w:r>
            <w:r>
              <w:rPr>
                <w:rFonts w:hint="eastAsia" w:cs="仿宋_GB2312"/>
                <w:sz w:val="24"/>
                <w:szCs w:val="24"/>
              </w:rPr>
              <w:t>资源保障</w:t>
            </w:r>
          </w:p>
          <w:p>
            <w:pPr>
              <w:spacing w:line="360" w:lineRule="exact"/>
              <w:ind w:firstLine="0" w:firstLineChars="0"/>
              <w:contextualSpacing/>
              <w:jc w:val="center"/>
              <w:rPr>
                <w:rFonts w:cs="仿宋_GB2312"/>
                <w:sz w:val="24"/>
                <w:szCs w:val="24"/>
              </w:rPr>
            </w:pPr>
            <w:r>
              <w:rPr>
                <w:rFonts w:hint="eastAsia" w:cs="仿宋_GB2312"/>
                <w:sz w:val="24"/>
                <w:szCs w:val="24"/>
              </w:rPr>
              <w:t>（</w:t>
            </w:r>
            <w:r>
              <w:rPr>
                <w:rFonts w:cs="仿宋_GB2312"/>
                <w:sz w:val="24"/>
                <w:szCs w:val="24"/>
              </w:rPr>
              <w:t>8</w:t>
            </w:r>
            <w:r>
              <w:rPr>
                <w:rFonts w:hint="eastAsia" w:cs="仿宋_GB2312"/>
                <w:sz w:val="24"/>
                <w:szCs w:val="24"/>
              </w:rPr>
              <w:t>分）</w:t>
            </w: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C28.</w:t>
            </w:r>
            <w:r>
              <w:rPr>
                <w:rFonts w:hint="eastAsia" w:cs="仿宋_GB2312"/>
                <w:sz w:val="24"/>
                <w:szCs w:val="24"/>
              </w:rPr>
              <w:t>校级团委单独设置，未把团的组织机构随意撤销、合并或归属于其他工作部门。（6分）</w:t>
            </w:r>
          </w:p>
        </w:tc>
        <w:tc>
          <w:tcPr>
            <w:tcW w:w="992"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02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是</w:t>
            </w: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部门设置情况</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1586" w:type="dxa"/>
            <w:vMerge w:val="continue"/>
          </w:tcPr>
          <w:p>
            <w:pPr>
              <w:spacing w:line="360" w:lineRule="exact"/>
              <w:ind w:firstLine="0" w:firstLineChars="0"/>
              <w:contextualSpacing/>
              <w:jc w:val="center"/>
              <w:rPr>
                <w:rFonts w:cs="仿宋_GB2312"/>
                <w:sz w:val="24"/>
                <w:szCs w:val="24"/>
              </w:rPr>
            </w:pPr>
          </w:p>
        </w:tc>
        <w:tc>
          <w:tcPr>
            <w:tcW w:w="1701" w:type="dxa"/>
            <w:vMerge w:val="continue"/>
          </w:tcPr>
          <w:p>
            <w:pPr>
              <w:spacing w:line="360" w:lineRule="exact"/>
              <w:ind w:firstLine="0" w:firstLineChars="0"/>
              <w:contextualSpacing/>
              <w:jc w:val="center"/>
              <w:rPr>
                <w:rFonts w:cs="仿宋_GB2312"/>
                <w:sz w:val="24"/>
                <w:szCs w:val="24"/>
              </w:rPr>
            </w:pPr>
          </w:p>
        </w:tc>
        <w:tc>
          <w:tcPr>
            <w:tcW w:w="6918" w:type="dxa"/>
            <w:vAlign w:val="center"/>
          </w:tcPr>
          <w:p>
            <w:pPr>
              <w:spacing w:line="360" w:lineRule="exact"/>
              <w:ind w:firstLine="0" w:firstLineChars="0"/>
              <w:contextualSpacing/>
              <w:rPr>
                <w:rFonts w:cs="仿宋_GB2312"/>
                <w:sz w:val="24"/>
                <w:szCs w:val="24"/>
              </w:rPr>
            </w:pPr>
            <w:r>
              <w:rPr>
                <w:rFonts w:cs="仿宋_GB2312"/>
                <w:sz w:val="24"/>
                <w:szCs w:val="24"/>
              </w:rPr>
              <w:t>C29.</w:t>
            </w:r>
            <w:r>
              <w:rPr>
                <w:rFonts w:hint="eastAsia" w:cs="仿宋_GB2312"/>
                <w:sz w:val="24"/>
                <w:szCs w:val="24"/>
              </w:rPr>
              <w:t>将团建经费纳入党建经费整体计划，按在校生人均每年</w:t>
            </w:r>
            <w:r>
              <w:rPr>
                <w:rFonts w:hint="eastAsia" w:cs="仿宋_GB2312"/>
                <w:bCs/>
                <w:sz w:val="24"/>
                <w:szCs w:val="24"/>
              </w:rPr>
              <w:t>不低于</w:t>
            </w:r>
            <w:r>
              <w:rPr>
                <w:rFonts w:cs="仿宋_GB2312"/>
                <w:bCs/>
                <w:sz w:val="24"/>
                <w:szCs w:val="24"/>
              </w:rPr>
              <w:t>20</w:t>
            </w:r>
            <w:r>
              <w:rPr>
                <w:rFonts w:hint="eastAsia" w:cs="仿宋_GB2312"/>
                <w:bCs/>
                <w:sz w:val="24"/>
                <w:szCs w:val="24"/>
              </w:rPr>
              <w:t>元的标准</w:t>
            </w:r>
            <w:r>
              <w:rPr>
                <w:rFonts w:hint="eastAsia" w:cs="仿宋_GB2312"/>
                <w:sz w:val="24"/>
                <w:szCs w:val="24"/>
              </w:rPr>
              <w:t>划拨校级团委日常工作经费，并在活动场所、设备、时间等方面对团的工作予以保障。（2分）</w:t>
            </w:r>
          </w:p>
        </w:tc>
        <w:tc>
          <w:tcPr>
            <w:tcW w:w="992" w:type="dxa"/>
            <w:vAlign w:val="center"/>
          </w:tcPr>
          <w:p>
            <w:pPr>
              <w:spacing w:line="360" w:lineRule="exact"/>
              <w:ind w:firstLine="0" w:firstLineChars="0"/>
              <w:contextualSpacing/>
              <w:jc w:val="center"/>
              <w:rPr>
                <w:rFonts w:cs="仿宋_GB2312"/>
                <w:sz w:val="24"/>
                <w:szCs w:val="24"/>
              </w:rPr>
            </w:pPr>
            <w:r>
              <w:rPr>
                <w:rFonts w:cs="仿宋_GB2312"/>
                <w:sz w:val="24"/>
                <w:szCs w:val="24"/>
              </w:rPr>
              <w:t>A</w:t>
            </w:r>
          </w:p>
        </w:tc>
        <w:tc>
          <w:tcPr>
            <w:tcW w:w="1020" w:type="dxa"/>
            <w:vAlign w:val="center"/>
          </w:tcPr>
          <w:p>
            <w:pPr>
              <w:spacing w:line="360" w:lineRule="exact"/>
              <w:ind w:firstLine="0" w:firstLineChars="0"/>
              <w:contextualSpacing/>
              <w:jc w:val="center"/>
              <w:rPr>
                <w:rFonts w:cs="仿宋_GB2312"/>
                <w:sz w:val="24"/>
                <w:szCs w:val="24"/>
              </w:rPr>
            </w:pPr>
          </w:p>
        </w:tc>
        <w:tc>
          <w:tcPr>
            <w:tcW w:w="1248"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共青团年度（生均）工作经费</w:t>
            </w:r>
          </w:p>
        </w:tc>
        <w:tc>
          <w:tcPr>
            <w:tcW w:w="850" w:type="dxa"/>
            <w:vAlign w:val="center"/>
          </w:tcPr>
          <w:p>
            <w:pPr>
              <w:spacing w:line="360" w:lineRule="exact"/>
              <w:ind w:firstLine="0" w:firstLineChars="0"/>
              <w:contextualSpacing/>
              <w:jc w:val="center"/>
              <w:rPr>
                <w:rFonts w:cs="仿宋_GB2312"/>
                <w:sz w:val="24"/>
                <w:szCs w:val="24"/>
              </w:rPr>
            </w:pPr>
            <w:r>
              <w:rPr>
                <w:rFonts w:hint="eastAsia" w:cs="仿宋_GB2312"/>
                <w:sz w:val="24"/>
                <w:szCs w:val="24"/>
              </w:rPr>
              <w:t>2</w:t>
            </w:r>
          </w:p>
        </w:tc>
      </w:tr>
    </w:tbl>
    <w:p>
      <w:pPr>
        <w:spacing w:line="360" w:lineRule="exact"/>
        <w:ind w:left="720" w:hanging="720" w:hangingChars="300"/>
        <w:contextualSpacing/>
        <w:rPr>
          <w:rFonts w:cs="Times New Roman"/>
          <w:sz w:val="24"/>
          <w:szCs w:val="24"/>
        </w:rPr>
      </w:pPr>
      <w:r>
        <w:rPr>
          <w:rFonts w:hint="eastAsia" w:cs="Times New Roman"/>
          <w:sz w:val="24"/>
          <w:szCs w:val="24"/>
        </w:rPr>
        <w:t>注：1.</w:t>
      </w:r>
      <w:r>
        <w:rPr>
          <w:rFonts w:cs="Times New Roman"/>
          <w:sz w:val="24"/>
          <w:szCs w:val="24"/>
        </w:rPr>
        <w:t xml:space="preserve">. </w:t>
      </w:r>
      <w:r>
        <w:rPr>
          <w:rFonts w:hint="eastAsia" w:cs="Times New Roman"/>
          <w:sz w:val="24"/>
          <w:szCs w:val="24"/>
        </w:rPr>
        <w:t>状态评价为“是”或“否”，“是”表示符合要求、该项得满分，“否”表示不符合要求、该项不得分。程度评价为“</w:t>
      </w:r>
      <w:r>
        <w:rPr>
          <w:rFonts w:cs="Times New Roman"/>
          <w:sz w:val="24"/>
          <w:szCs w:val="24"/>
        </w:rPr>
        <w:t>ABCD</w:t>
      </w:r>
      <w:r>
        <w:rPr>
          <w:rFonts w:hint="eastAsia" w:cs="Times New Roman"/>
          <w:sz w:val="24"/>
          <w:szCs w:val="24"/>
        </w:rPr>
        <w:t xml:space="preserve">”， </w:t>
      </w:r>
      <w:r>
        <w:rPr>
          <w:rFonts w:cs="Times New Roman"/>
          <w:sz w:val="24"/>
          <w:szCs w:val="24"/>
        </w:rPr>
        <w:t>A</w:t>
      </w:r>
      <w:r>
        <w:rPr>
          <w:rFonts w:hint="eastAsia" w:cs="Times New Roman"/>
          <w:sz w:val="24"/>
          <w:szCs w:val="24"/>
        </w:rPr>
        <w:t>表示“好”、该项得满分，</w:t>
      </w:r>
      <w:r>
        <w:rPr>
          <w:rFonts w:cs="Times New Roman"/>
          <w:sz w:val="24"/>
          <w:szCs w:val="24"/>
        </w:rPr>
        <w:t>B</w:t>
      </w:r>
      <w:r>
        <w:rPr>
          <w:rFonts w:hint="eastAsia" w:cs="Times New Roman"/>
          <w:sz w:val="24"/>
          <w:szCs w:val="24"/>
        </w:rPr>
        <w:t>表示“较好”、得该项满分的</w:t>
      </w:r>
      <w:r>
        <w:rPr>
          <w:rFonts w:cs="Times New Roman"/>
          <w:sz w:val="24"/>
          <w:szCs w:val="24"/>
        </w:rPr>
        <w:t>60%</w:t>
      </w:r>
      <w:r>
        <w:rPr>
          <w:rFonts w:hint="eastAsia" w:cs="Times New Roman"/>
          <w:sz w:val="24"/>
          <w:szCs w:val="24"/>
        </w:rPr>
        <w:t>，</w:t>
      </w:r>
      <w:r>
        <w:rPr>
          <w:rFonts w:cs="Times New Roman"/>
          <w:sz w:val="24"/>
          <w:szCs w:val="24"/>
        </w:rPr>
        <w:t>C</w:t>
      </w:r>
      <w:r>
        <w:rPr>
          <w:rFonts w:hint="eastAsia" w:cs="Times New Roman"/>
          <w:sz w:val="24"/>
          <w:szCs w:val="24"/>
        </w:rPr>
        <w:t>表示“一般”、得该项满分的</w:t>
      </w:r>
      <w:r>
        <w:rPr>
          <w:rFonts w:cs="Times New Roman"/>
          <w:sz w:val="24"/>
          <w:szCs w:val="24"/>
        </w:rPr>
        <w:t>40%</w:t>
      </w:r>
      <w:r>
        <w:rPr>
          <w:rFonts w:hint="eastAsia" w:cs="Times New Roman"/>
          <w:sz w:val="24"/>
          <w:szCs w:val="24"/>
        </w:rPr>
        <w:t>，</w:t>
      </w:r>
      <w:r>
        <w:rPr>
          <w:rFonts w:cs="Times New Roman"/>
          <w:sz w:val="24"/>
          <w:szCs w:val="24"/>
        </w:rPr>
        <w:t>D</w:t>
      </w:r>
      <w:r>
        <w:rPr>
          <w:rFonts w:hint="eastAsia" w:cs="Times New Roman"/>
          <w:sz w:val="24"/>
          <w:szCs w:val="24"/>
        </w:rPr>
        <w:t>表示“差”、该项不得分。如，单项分值满分为</w:t>
      </w:r>
      <w:r>
        <w:rPr>
          <w:rFonts w:cs="Times New Roman"/>
          <w:sz w:val="24"/>
          <w:szCs w:val="24"/>
        </w:rPr>
        <w:t>5</w:t>
      </w:r>
      <w:r>
        <w:rPr>
          <w:rFonts w:hint="eastAsia" w:cs="Times New Roman"/>
          <w:sz w:val="24"/>
          <w:szCs w:val="24"/>
        </w:rPr>
        <w:t>分，则</w:t>
      </w:r>
      <w:r>
        <w:rPr>
          <w:rFonts w:cs="Times New Roman"/>
          <w:sz w:val="24"/>
          <w:szCs w:val="24"/>
        </w:rPr>
        <w:t>ABCD</w:t>
      </w:r>
      <w:r>
        <w:rPr>
          <w:rFonts w:hint="eastAsia" w:cs="Times New Roman"/>
          <w:sz w:val="24"/>
          <w:szCs w:val="24"/>
        </w:rPr>
        <w:t>分别对应</w:t>
      </w:r>
      <w:r>
        <w:rPr>
          <w:rFonts w:cs="Times New Roman"/>
          <w:sz w:val="24"/>
          <w:szCs w:val="24"/>
        </w:rPr>
        <w:t>5</w:t>
      </w:r>
      <w:r>
        <w:rPr>
          <w:rFonts w:hint="eastAsia" w:cs="Times New Roman"/>
          <w:sz w:val="24"/>
          <w:szCs w:val="24"/>
        </w:rPr>
        <w:t>分、</w:t>
      </w:r>
      <w:r>
        <w:rPr>
          <w:rFonts w:cs="Times New Roman"/>
          <w:sz w:val="24"/>
          <w:szCs w:val="24"/>
        </w:rPr>
        <w:t>3</w:t>
      </w:r>
      <w:r>
        <w:rPr>
          <w:rFonts w:hint="eastAsia" w:cs="Times New Roman"/>
          <w:sz w:val="24"/>
          <w:szCs w:val="24"/>
        </w:rPr>
        <w:t>分、</w:t>
      </w:r>
      <w:r>
        <w:rPr>
          <w:rFonts w:cs="Times New Roman"/>
          <w:sz w:val="24"/>
          <w:szCs w:val="24"/>
        </w:rPr>
        <w:t>2</w:t>
      </w:r>
      <w:r>
        <w:rPr>
          <w:rFonts w:hint="eastAsia" w:cs="Times New Roman"/>
          <w:sz w:val="24"/>
          <w:szCs w:val="24"/>
        </w:rPr>
        <w:t>分、</w:t>
      </w:r>
      <w:r>
        <w:rPr>
          <w:rFonts w:cs="Times New Roman"/>
          <w:sz w:val="24"/>
          <w:szCs w:val="24"/>
        </w:rPr>
        <w:t>0</w:t>
      </w:r>
      <w:r>
        <w:rPr>
          <w:rFonts w:hint="eastAsia" w:cs="Times New Roman"/>
          <w:sz w:val="24"/>
          <w:szCs w:val="24"/>
        </w:rPr>
        <w:t>分。</w:t>
      </w:r>
    </w:p>
    <w:p>
      <w:pPr>
        <w:spacing w:line="360" w:lineRule="exact"/>
        <w:ind w:firstLine="480"/>
        <w:contextualSpacing/>
        <w:rPr>
          <w:rFonts w:cs="Times New Roman"/>
          <w:sz w:val="28"/>
          <w:szCs w:val="28"/>
        </w:rPr>
      </w:pPr>
      <w:r>
        <w:rPr>
          <w:rFonts w:hint="eastAsia" w:cs="Times New Roman"/>
          <w:sz w:val="24"/>
          <w:szCs w:val="24"/>
        </w:rPr>
        <w:t>2</w:t>
      </w:r>
      <w:r>
        <w:rPr>
          <w:rFonts w:cs="Times New Roman"/>
          <w:sz w:val="24"/>
          <w:szCs w:val="24"/>
        </w:rPr>
        <w:t xml:space="preserve">. </w:t>
      </w:r>
      <w:r>
        <w:rPr>
          <w:rFonts w:hint="eastAsia" w:cs="Times New Roman"/>
          <w:sz w:val="24"/>
          <w:szCs w:val="24"/>
        </w:rPr>
        <w:t>重点改革指标一栏中标注为“是”的为改革重点评价指标。</w:t>
      </w:r>
    </w:p>
    <w:p/>
    <w:sectPr>
      <w:pgSz w:w="16838" w:h="11906" w:orient="landscape"/>
      <w:pgMar w:top="720" w:right="720" w:bottom="720" w:left="720" w:header="851" w:footer="992" w:gutter="0"/>
      <w:pgNumType w:fmt="numberInDash"/>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E52C0"/>
    <w:rsid w:val="46C31A70"/>
    <w:rsid w:val="486E5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方正仿宋简体" w:cstheme="minorBidi"/>
      <w:kern w:val="2"/>
      <w:sz w:val="30"/>
      <w:szCs w:val="30"/>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2021-10-28T09:27:00Z</dcterms:created>
  <dc:creator>安  琼</dc:creator>
  <cp:lastModifiedBy>安  琼</cp:lastModifiedBy>
  <dcterms:modified xsi:type="dcterms:W3CDTF">2021-10-28T09:28:45Z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B2C891DF3CB642B38A4565A76BD83AC2</vt:lpwstr>
  </property>
</Properties>
</file>